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F" w:rsidRDefault="00BA58F9">
      <w:pPr>
        <w:rPr>
          <w:b/>
          <w:bCs/>
        </w:rPr>
      </w:pPr>
      <w:proofErr w:type="spellStart"/>
      <w:r>
        <w:rPr>
          <w:b/>
          <w:bCs/>
        </w:rPr>
        <w:t>Copsewood</w:t>
      </w:r>
      <w:proofErr w:type="spellEnd"/>
      <w:r>
        <w:rPr>
          <w:b/>
          <w:bCs/>
        </w:rPr>
        <w:t xml:space="preserve"> Editorial Services </w:t>
      </w:r>
      <w:r>
        <w:rPr>
          <w:b/>
          <w:bCs/>
        </w:rPr>
        <w:tab/>
        <w:t>Editorial checklist</w:t>
      </w:r>
    </w:p>
    <w:p w:rsidR="00BF373F" w:rsidRDefault="00BF373F"/>
    <w:p w:rsidR="00BF373F" w:rsidRDefault="00BF373F"/>
    <w:tbl>
      <w:tblPr>
        <w:tblW w:w="0" w:type="auto"/>
        <w:tblInd w:w="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0"/>
        <w:gridCol w:w="2319"/>
        <w:gridCol w:w="2333"/>
      </w:tblGrid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Editorial tasks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Editing level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F373F">
            <w:pPr>
              <w:pStyle w:val="TableContents"/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Standard copy-editing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Advanced </w:t>
            </w:r>
            <w:r>
              <w:rPr>
                <w:b/>
                <w:bCs/>
                <w:color w:val="000000"/>
              </w:rPr>
              <w:br/>
              <w:t>copy-editing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F373F">
            <w:pPr>
              <w:pStyle w:val="TableContents"/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F373F">
            <w:pPr>
              <w:pStyle w:val="TableContents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F373F">
            <w:pPr>
              <w:pStyle w:val="TableContents"/>
              <w:jc w:val="center"/>
              <w:rPr>
                <w:b/>
                <w:bCs/>
                <w:color w:val="000000"/>
              </w:rPr>
            </w:pP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>Analysing and assessing manuscript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>Checking spelling, punctuation, terminology, grammar and syntax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 xml:space="preserve">Ensuring </w:t>
            </w:r>
            <w:r>
              <w:rPr>
                <w:rStyle w:val="StrongEmphasis"/>
                <w:b w:val="0"/>
                <w:bCs w:val="0"/>
                <w:color w:val="000000"/>
              </w:rPr>
              <w:t>consistency of spelling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>Ensuring consistency of style (using in-house style sheet where appropriate)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>Analysing sentence and paragraph construction and length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>Checking relevance and clarity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>Resolving ambiguity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</w:rPr>
            </w:pPr>
            <w:r>
              <w:rPr>
                <w:rStyle w:val="StrongEmphasis"/>
                <w:b w:val="0"/>
                <w:bCs w:val="0"/>
              </w:rPr>
              <w:t xml:space="preserve">Editing with the </w:t>
            </w:r>
            <w:r>
              <w:rPr>
                <w:rStyle w:val="StrongEmphasis"/>
                <w:b w:val="0"/>
                <w:bCs w:val="0"/>
              </w:rPr>
              <w:t>intended audience in mind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</w:pPr>
            <w:r>
              <w:t>Watching out for copyright/legal issues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</w:pPr>
            <w:r>
              <w:t>Checking illustrations/figures/maps/tables and editing captions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>Checking footnotes and bibliographic references (where relevant)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</w:pPr>
            <w:r>
              <w:t>Checking cross-references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</w:pPr>
            <w:r>
              <w:t xml:space="preserve">Raising </w:t>
            </w:r>
            <w:r>
              <w:t>queries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</w:pPr>
            <w:r>
              <w:t xml:space="preserve">Creating style sheet for </w:t>
            </w:r>
            <w:proofErr w:type="spellStart"/>
            <w:r>
              <w:t>proofreader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 xml:space="preserve">Analysing structure/logic of argument/discussion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F373F">
            <w:pPr>
              <w:pStyle w:val="TableContents"/>
              <w:jc w:val="center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rStyle w:val="StrongEmphasis"/>
                <w:b w:val="0"/>
                <w:bCs w:val="0"/>
                <w:color w:val="000000"/>
              </w:rPr>
            </w:pPr>
            <w:r>
              <w:rPr>
                <w:rStyle w:val="StrongEmphasis"/>
                <w:b w:val="0"/>
                <w:bCs w:val="0"/>
                <w:color w:val="000000"/>
              </w:rPr>
              <w:t>Rewriting where necessary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F373F">
            <w:pPr>
              <w:pStyle w:val="TableContents"/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</w:pPr>
            <w:r>
              <w:t>Reorganising text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F373F">
            <w:pPr>
              <w:pStyle w:val="TableContents"/>
              <w:rPr>
                <w:color w:val="00CCFF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</w:pPr>
            <w:r>
              <w:t>Checking facts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F373F">
            <w:pPr>
              <w:pStyle w:val="TableContents"/>
              <w:rPr>
                <w:color w:val="00CCFF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jc w:val="center"/>
              <w:rPr>
                <w:rStyle w:val="StrongEmphasis"/>
                <w:b w:val="0"/>
                <w:bCs w:val="0"/>
                <w:color w:val="00CCFF"/>
              </w:rPr>
            </w:pPr>
            <w:r>
              <w:rPr>
                <w:rStyle w:val="StrongEmphasis"/>
                <w:b w:val="0"/>
                <w:bCs w:val="0"/>
                <w:color w:val="00CCFF"/>
              </w:rPr>
              <w:t>√</w:t>
            </w:r>
          </w:p>
        </w:tc>
      </w:tr>
      <w:tr w:rsidR="00BF373F">
        <w:tc>
          <w:tcPr>
            <w:tcW w:w="8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F373F">
            <w:pPr>
              <w:pStyle w:val="TableContents"/>
            </w:pPr>
          </w:p>
        </w:tc>
      </w:tr>
      <w:tr w:rsidR="00BF373F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Fees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 w:rsidP="00BA58F9">
            <w:pPr>
              <w:pStyle w:val="TableContents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From</w:t>
            </w:r>
            <w:r>
              <w:rPr>
                <w:color w:val="000000"/>
              </w:rPr>
              <w:t xml:space="preserve"> £29</w:t>
            </w:r>
            <w:r>
              <w:rPr>
                <w:color w:val="000000"/>
              </w:rPr>
              <w:t>.6</w:t>
            </w:r>
            <w:r>
              <w:rPr>
                <w:color w:val="000000"/>
              </w:rPr>
              <w:t xml:space="preserve">0 per hour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373F" w:rsidRDefault="00BA58F9" w:rsidP="00BA58F9">
            <w:pPr>
              <w:pStyle w:val="TableContents"/>
              <w:jc w:val="center"/>
            </w:pPr>
            <w:r>
              <w:rPr>
                <w:i/>
                <w:iCs/>
              </w:rPr>
              <w:t>From</w:t>
            </w:r>
            <w:r>
              <w:t xml:space="preserve"> £34</w:t>
            </w:r>
            <w:r>
              <w:t>.0</w:t>
            </w:r>
            <w:bookmarkStart w:id="0" w:name="_GoBack"/>
            <w:bookmarkEnd w:id="0"/>
            <w:r>
              <w:t xml:space="preserve">0 per hour </w:t>
            </w:r>
          </w:p>
        </w:tc>
      </w:tr>
    </w:tbl>
    <w:p w:rsidR="00BF373F" w:rsidRDefault="00BF373F"/>
    <w:p w:rsidR="00BF373F" w:rsidRDefault="00BA58F9">
      <w:r>
        <w:t xml:space="preserve">The fees quoted above </w:t>
      </w:r>
      <w:r>
        <w:t>are based on the scale of fees suggested by the Chartered Institute of Editing and Proofreading (CIEP</w:t>
      </w:r>
      <w:r>
        <w:t>) and the National Union of Journalists and are for guidance only.</w:t>
      </w:r>
    </w:p>
    <w:p w:rsidR="00BF373F" w:rsidRDefault="00BF373F"/>
    <w:p w:rsidR="00BF373F" w:rsidRDefault="00BA58F9">
      <w:r>
        <w:t>CI</w:t>
      </w:r>
      <w:r>
        <w:t>EP publishes the following information to explain how the fees are calculated:</w:t>
      </w:r>
    </w:p>
    <w:p w:rsidR="00BF373F" w:rsidRDefault="00BF373F"/>
    <w:p w:rsidR="00BF373F" w:rsidRDefault="00BA58F9">
      <w:pPr>
        <w:pStyle w:val="TextBody"/>
      </w:pPr>
      <w:r>
        <w:tab/>
        <w:t>The rates are r</w:t>
      </w:r>
      <w:r>
        <w:t xml:space="preserve">eviewed annually, when they're either increased (broadly in line with </w:t>
      </w:r>
      <w:r>
        <w:tab/>
        <w:t xml:space="preserve">inflation) or kept static during periods of economic downturn, but always with the aim of </w:t>
      </w:r>
      <w:r>
        <w:tab/>
        <w:t>keeping them realistic yet still aspirational for our members.</w:t>
      </w:r>
    </w:p>
    <w:p w:rsidR="00BF373F" w:rsidRDefault="00BA58F9">
      <w:pPr>
        <w:pStyle w:val="TextBody"/>
      </w:pPr>
      <w:r>
        <w:tab/>
        <w:t xml:space="preserve">Each review is carried out by </w:t>
      </w:r>
      <w:r>
        <w:t xml:space="preserve">the full council, taking into account inflation, the general </w:t>
      </w:r>
      <w:r>
        <w:tab/>
        <w:t xml:space="preserve">economic situation, the health of the publishing industry, and any anecdotal evidence </w:t>
      </w:r>
      <w:r>
        <w:lastRenderedPageBreak/>
        <w:tab/>
        <w:t xml:space="preserve">available concerning editorial freelance pay rates. Finally, the council discusses whether its </w:t>
      </w:r>
      <w:r>
        <w:tab/>
        <w:t>proposed re</w:t>
      </w:r>
      <w:r>
        <w:t>visions are 'reasonable' given all of the above.</w:t>
      </w:r>
    </w:p>
    <w:p w:rsidR="00BF373F" w:rsidRDefault="00BA58F9">
      <w:pPr>
        <w:pStyle w:val="TextBody"/>
      </w:pPr>
      <w:bookmarkStart w:id="1" w:name="__DdeLink__1784_412314534"/>
      <w:bookmarkEnd w:id="1"/>
      <w:r>
        <w:tab/>
        <w:t xml:space="preserve">Each suggested minimum rate includes a factor to allow for holidays and other working time </w:t>
      </w:r>
      <w:r>
        <w:tab/>
        <w:t xml:space="preserve">not actually spent editing/proofreading. It should also be remembered that editorial </w:t>
      </w:r>
      <w:r>
        <w:tab/>
        <w:t>freelances are responsible f</w:t>
      </w:r>
      <w:r>
        <w:t xml:space="preserve">or paying for their own National Insurance, pension provision, </w:t>
      </w:r>
      <w:r>
        <w:tab/>
        <w:t xml:space="preserve">continuing professional development (CPD), office space, hardware, software and utilities. </w:t>
      </w:r>
      <w:r>
        <w:tab/>
        <w:t xml:space="preserve">These all represent considerable savings in overhead costs for those employing the services </w:t>
      </w:r>
      <w:r>
        <w:tab/>
        <w:t>of a fr</w:t>
      </w:r>
      <w:r>
        <w:t xml:space="preserve">eelance, over and above other savings made by not having to provide holiday pay, sick </w:t>
      </w:r>
      <w:r>
        <w:tab/>
        <w:t>pay and family leave.</w:t>
      </w:r>
    </w:p>
    <w:p w:rsidR="00BF373F" w:rsidRDefault="00BF373F">
      <w:pPr>
        <w:pStyle w:val="TextBody"/>
      </w:pPr>
    </w:p>
    <w:p w:rsidR="00BF373F" w:rsidRDefault="00BA58F9">
      <w:r>
        <w:br/>
      </w:r>
    </w:p>
    <w:p w:rsidR="00BF373F" w:rsidRDefault="00BF373F">
      <w:pPr>
        <w:pStyle w:val="TextBody"/>
      </w:pPr>
    </w:p>
    <w:p w:rsidR="00BF373F" w:rsidRDefault="00BF373F"/>
    <w:sectPr w:rsidR="00BF373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F373F"/>
    <w:rsid w:val="00095C90"/>
    <w:rsid w:val="00BA58F9"/>
    <w:rsid w:val="00B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paragraph" w:styleId="Heading2">
    <w:name w:val="heading 2"/>
    <w:basedOn w:val="Heading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</cp:lastModifiedBy>
  <cp:revision>3</cp:revision>
  <cp:lastPrinted>2015-02-27T16:12:00Z</cp:lastPrinted>
  <dcterms:created xsi:type="dcterms:W3CDTF">2020-08-11T16:43:00Z</dcterms:created>
  <dcterms:modified xsi:type="dcterms:W3CDTF">2020-08-11T16:45:00Z</dcterms:modified>
  <dc:language>en-GB</dc:language>
</cp:coreProperties>
</file>